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406E7" w14:textId="77777777" w:rsidR="005A393F" w:rsidRPr="005A393F" w:rsidRDefault="005A393F" w:rsidP="005A393F">
      <w:pPr>
        <w:spacing w:before="100" w:beforeAutospacing="1" w:after="100" w:afterAutospacing="1" w:line="240" w:lineRule="auto"/>
        <w:textAlignment w:val="baseline"/>
        <w:outlineLvl w:val="1"/>
        <w:rPr>
          <w:rFonts w:ascii="Montserrat" w:eastAsia="Times New Roman" w:hAnsi="Montserrat" w:cs="Times New Roman"/>
          <w:b/>
          <w:bCs/>
          <w:color w:val="212529"/>
          <w:kern w:val="0"/>
          <w:sz w:val="28"/>
          <w:szCs w:val="28"/>
          <w:lang w:eastAsia="en-GB"/>
          <w14:ligatures w14:val="none"/>
        </w:rPr>
      </w:pPr>
      <w:r w:rsidRPr="005A393F">
        <w:rPr>
          <w:rFonts w:ascii="Montserrat" w:eastAsia="Times New Roman" w:hAnsi="Montserrat" w:cs="Times New Roman"/>
          <w:b/>
          <w:bCs/>
          <w:color w:val="212529"/>
          <w:kern w:val="0"/>
          <w:sz w:val="28"/>
          <w:szCs w:val="28"/>
          <w:lang w:eastAsia="en-GB"/>
          <w14:ligatures w14:val="none"/>
        </w:rPr>
        <w:t>DfE publish update to T Level placement guidance</w:t>
      </w:r>
    </w:p>
    <w:p w14:paraId="2119B2CC" w14:textId="77777777" w:rsidR="005A393F" w:rsidRPr="005A393F" w:rsidRDefault="005A393F" w:rsidP="005A393F">
      <w:pPr>
        <w:spacing w:after="0" w:line="240" w:lineRule="auto"/>
        <w:textAlignment w:val="baseline"/>
        <w:rPr>
          <w:rFonts w:ascii="Montserrat" w:eastAsia="Times New Roman" w:hAnsi="Montserrat" w:cs="Times New Roman"/>
          <w:color w:val="212529"/>
          <w:kern w:val="0"/>
          <w:lang w:eastAsia="en-GB"/>
          <w14:ligatures w14:val="none"/>
        </w:rPr>
      </w:pPr>
      <w:r w:rsidRPr="005A393F">
        <w:rPr>
          <w:rFonts w:ascii="Montserrat" w:eastAsia="Times New Roman" w:hAnsi="Montserrat" w:cs="Times New Roman"/>
          <w:color w:val="212529"/>
          <w:kern w:val="0"/>
          <w:lang w:eastAsia="en-GB"/>
          <w14:ligatures w14:val="none"/>
        </w:rPr>
        <w:t>The Department for Education has published updated guidelines for providers responsible for delivering T Level industry placements. The guidelines outline new flexibilities in place to make placements easier to deliver, encourage more employers to host, and to reflect real-world working patterns. The aim is to make industry placements more achievable and open up access to a wider range of students.</w:t>
      </w:r>
      <w:r w:rsidRPr="005A393F">
        <w:rPr>
          <w:rFonts w:ascii="Montserrat" w:eastAsia="Times New Roman" w:hAnsi="Montserrat" w:cs="Times New Roman"/>
          <w:color w:val="212529"/>
          <w:kern w:val="0"/>
          <w:lang w:eastAsia="en-GB"/>
          <w14:ligatures w14:val="none"/>
        </w:rPr>
        <w:br/>
      </w:r>
      <w:r w:rsidRPr="005A393F">
        <w:rPr>
          <w:rFonts w:ascii="Montserrat" w:eastAsia="Times New Roman" w:hAnsi="Montserrat" w:cs="Times New Roman"/>
          <w:color w:val="212529"/>
          <w:kern w:val="0"/>
          <w:lang w:eastAsia="en-GB"/>
          <w14:ligatures w14:val="none"/>
        </w:rPr>
        <w:br/>
      </w:r>
      <w:r w:rsidRPr="005A393F">
        <w:rPr>
          <w:rFonts w:ascii="Montserrat" w:eastAsia="Times New Roman" w:hAnsi="Montserrat" w:cs="Times New Roman"/>
          <w:b/>
          <w:bCs/>
          <w:i/>
          <w:iCs/>
          <w:color w:val="212529"/>
          <w:kern w:val="0"/>
          <w:bdr w:val="none" w:sz="0" w:space="0" w:color="auto" w:frame="1"/>
          <w:lang w:eastAsia="en-GB"/>
          <w14:ligatures w14:val="none"/>
        </w:rPr>
        <w:t>What is NOT changing</w:t>
      </w:r>
    </w:p>
    <w:p w14:paraId="71ECFEA5" w14:textId="77777777" w:rsidR="005A393F" w:rsidRPr="005A393F" w:rsidRDefault="005A393F" w:rsidP="005A393F">
      <w:pPr>
        <w:numPr>
          <w:ilvl w:val="0"/>
          <w:numId w:val="1"/>
        </w:numPr>
        <w:spacing w:before="100" w:beforeAutospacing="1" w:after="100" w:afterAutospacing="1" w:line="240" w:lineRule="auto"/>
        <w:textAlignment w:val="baseline"/>
        <w:rPr>
          <w:rFonts w:ascii="Montserrat" w:eastAsia="Times New Roman" w:hAnsi="Montserrat" w:cs="Times New Roman"/>
          <w:color w:val="212529"/>
          <w:kern w:val="0"/>
          <w:lang w:eastAsia="en-GB"/>
          <w14:ligatures w14:val="none"/>
        </w:rPr>
      </w:pPr>
      <w:r w:rsidRPr="005A393F">
        <w:rPr>
          <w:rFonts w:ascii="Montserrat" w:eastAsia="Times New Roman" w:hAnsi="Montserrat" w:cs="Times New Roman"/>
          <w:color w:val="212529"/>
          <w:kern w:val="0"/>
          <w:lang w:eastAsia="en-GB"/>
          <w14:ligatures w14:val="none"/>
        </w:rPr>
        <w:t>The industry placement remains an integral, essential part of a T Level; without it, a student cannot complete the full qualification. </w:t>
      </w:r>
    </w:p>
    <w:p w14:paraId="2BF1E52C" w14:textId="77777777" w:rsidR="005A393F" w:rsidRPr="005A393F" w:rsidRDefault="005A393F" w:rsidP="005A393F">
      <w:pPr>
        <w:numPr>
          <w:ilvl w:val="0"/>
          <w:numId w:val="1"/>
        </w:numPr>
        <w:spacing w:before="100" w:beforeAutospacing="1" w:after="100" w:afterAutospacing="1" w:line="240" w:lineRule="auto"/>
        <w:textAlignment w:val="baseline"/>
        <w:rPr>
          <w:rFonts w:ascii="Montserrat" w:eastAsia="Times New Roman" w:hAnsi="Montserrat" w:cs="Times New Roman"/>
          <w:color w:val="212529"/>
          <w:kern w:val="0"/>
          <w:lang w:eastAsia="en-GB"/>
          <w14:ligatures w14:val="none"/>
        </w:rPr>
      </w:pPr>
      <w:r w:rsidRPr="005A393F">
        <w:rPr>
          <w:rFonts w:ascii="Montserrat" w:eastAsia="Times New Roman" w:hAnsi="Montserrat" w:cs="Times New Roman"/>
          <w:color w:val="212529"/>
          <w:kern w:val="0"/>
          <w:lang w:eastAsia="en-GB"/>
          <w14:ligatures w14:val="none"/>
        </w:rPr>
        <w:t>The minimum duration for most T Levels remains at 315 hours (45 days).</w:t>
      </w:r>
    </w:p>
    <w:p w14:paraId="79F18BBE" w14:textId="77777777" w:rsidR="005A393F" w:rsidRPr="005A393F" w:rsidRDefault="005A393F" w:rsidP="005A393F">
      <w:pPr>
        <w:numPr>
          <w:ilvl w:val="0"/>
          <w:numId w:val="1"/>
        </w:numPr>
        <w:spacing w:before="100" w:beforeAutospacing="1" w:after="100" w:afterAutospacing="1" w:line="240" w:lineRule="auto"/>
        <w:textAlignment w:val="baseline"/>
        <w:rPr>
          <w:rFonts w:ascii="Montserrat" w:eastAsia="Times New Roman" w:hAnsi="Montserrat" w:cs="Times New Roman"/>
          <w:color w:val="212529"/>
          <w:kern w:val="0"/>
          <w:lang w:eastAsia="en-GB"/>
          <w14:ligatures w14:val="none"/>
        </w:rPr>
      </w:pPr>
      <w:r w:rsidRPr="005A393F">
        <w:rPr>
          <w:rFonts w:ascii="Montserrat" w:eastAsia="Times New Roman" w:hAnsi="Montserrat" w:cs="Times New Roman"/>
          <w:color w:val="212529"/>
          <w:kern w:val="0"/>
          <w:lang w:eastAsia="en-GB"/>
          <w14:ligatures w14:val="none"/>
        </w:rPr>
        <w:t>The employer must oversee all aspects of the industry placement.</w:t>
      </w:r>
    </w:p>
    <w:p w14:paraId="428AF228" w14:textId="77777777" w:rsidR="005A393F" w:rsidRPr="005A393F" w:rsidRDefault="005A393F" w:rsidP="005A393F">
      <w:pPr>
        <w:numPr>
          <w:ilvl w:val="0"/>
          <w:numId w:val="1"/>
        </w:numPr>
        <w:spacing w:after="0" w:line="240" w:lineRule="auto"/>
        <w:textAlignment w:val="baseline"/>
        <w:rPr>
          <w:rFonts w:ascii="Montserrat" w:eastAsia="Times New Roman" w:hAnsi="Montserrat" w:cs="Times New Roman"/>
          <w:color w:val="212529"/>
          <w:kern w:val="0"/>
          <w:lang w:eastAsia="en-GB"/>
          <w14:ligatures w14:val="none"/>
        </w:rPr>
      </w:pPr>
      <w:r w:rsidRPr="005A393F">
        <w:rPr>
          <w:rFonts w:ascii="Montserrat" w:eastAsia="Times New Roman" w:hAnsi="Montserrat" w:cs="Times New Roman"/>
          <w:color w:val="212529"/>
          <w:kern w:val="0"/>
          <w:lang w:eastAsia="en-GB"/>
          <w14:ligatures w14:val="none"/>
        </w:rPr>
        <w:t>The placement must give students the opportunity to apply their learning, develop skills and contribute to real work activities.</w:t>
      </w:r>
    </w:p>
    <w:p w14:paraId="6778C55E" w14:textId="77777777" w:rsidR="005A393F" w:rsidRPr="005A393F" w:rsidRDefault="005A393F" w:rsidP="005A393F">
      <w:pPr>
        <w:spacing w:after="0" w:line="240" w:lineRule="auto"/>
        <w:textAlignment w:val="baseline"/>
        <w:rPr>
          <w:rFonts w:ascii="Montserrat" w:eastAsia="Times New Roman" w:hAnsi="Montserrat" w:cs="Times New Roman"/>
          <w:color w:val="212529"/>
          <w:kern w:val="0"/>
          <w:lang w:eastAsia="en-GB"/>
          <w14:ligatures w14:val="none"/>
        </w:rPr>
      </w:pPr>
      <w:r w:rsidRPr="005A393F">
        <w:rPr>
          <w:rFonts w:ascii="Montserrat" w:eastAsia="Times New Roman" w:hAnsi="Montserrat" w:cs="Times New Roman"/>
          <w:color w:val="212529"/>
          <w:kern w:val="0"/>
          <w:lang w:eastAsia="en-GB"/>
          <w14:ligatures w14:val="none"/>
        </w:rPr>
        <w:br/>
      </w:r>
      <w:r w:rsidRPr="005A393F">
        <w:rPr>
          <w:rFonts w:ascii="Montserrat" w:eastAsia="Times New Roman" w:hAnsi="Montserrat" w:cs="Times New Roman"/>
          <w:b/>
          <w:bCs/>
          <w:i/>
          <w:iCs/>
          <w:color w:val="212529"/>
          <w:kern w:val="0"/>
          <w:bdr w:val="none" w:sz="0" w:space="0" w:color="auto" w:frame="1"/>
          <w:lang w:eastAsia="en-GB"/>
          <w14:ligatures w14:val="none"/>
        </w:rPr>
        <w:t>What HAS changed</w:t>
      </w:r>
    </w:p>
    <w:p w14:paraId="1F388303" w14:textId="53C3A36C" w:rsidR="005A393F" w:rsidRPr="005A393F" w:rsidRDefault="005A393F" w:rsidP="005A393F">
      <w:pPr>
        <w:numPr>
          <w:ilvl w:val="0"/>
          <w:numId w:val="2"/>
        </w:numPr>
        <w:spacing w:beforeAutospacing="1" w:after="0" w:afterAutospacing="1" w:line="240" w:lineRule="auto"/>
        <w:textAlignment w:val="baseline"/>
        <w:rPr>
          <w:rFonts w:ascii="Montserrat" w:eastAsia="Times New Roman" w:hAnsi="Montserrat" w:cs="Times New Roman"/>
          <w:color w:val="212529"/>
          <w:kern w:val="0"/>
          <w:lang w:eastAsia="en-GB"/>
          <w14:ligatures w14:val="none"/>
        </w:rPr>
      </w:pPr>
      <w:r w:rsidRPr="005A393F">
        <w:rPr>
          <w:rFonts w:ascii="Montserrat" w:eastAsia="Times New Roman" w:hAnsi="Montserrat" w:cs="Times New Roman"/>
          <w:b/>
          <w:bCs/>
          <w:color w:val="212529"/>
          <w:kern w:val="0"/>
          <w:bdr w:val="none" w:sz="0" w:space="0" w:color="auto" w:frame="1"/>
          <w:lang w:eastAsia="en-GB"/>
          <w14:ligatures w14:val="none"/>
        </w:rPr>
        <w:t>Mu</w:t>
      </w:r>
      <w:r>
        <w:rPr>
          <w:rFonts w:ascii="Montserrat" w:eastAsia="Times New Roman" w:hAnsi="Montserrat" w:cs="Times New Roman"/>
          <w:b/>
          <w:bCs/>
          <w:color w:val="212529"/>
          <w:kern w:val="0"/>
          <w:bdr w:val="none" w:sz="0" w:space="0" w:color="auto" w:frame="1"/>
          <w:lang w:eastAsia="en-GB"/>
          <w14:ligatures w14:val="none"/>
        </w:rPr>
        <w:t>l</w:t>
      </w:r>
      <w:r w:rsidRPr="005A393F">
        <w:rPr>
          <w:rFonts w:ascii="Montserrat" w:eastAsia="Times New Roman" w:hAnsi="Montserrat" w:cs="Times New Roman"/>
          <w:b/>
          <w:bCs/>
          <w:color w:val="212529"/>
          <w:kern w:val="0"/>
          <w:bdr w:val="none" w:sz="0" w:space="0" w:color="auto" w:frame="1"/>
          <w:lang w:eastAsia="en-GB"/>
          <w14:ligatures w14:val="none"/>
        </w:rPr>
        <w:t>tiple employers permitted</w:t>
      </w:r>
      <w:r w:rsidRPr="005A393F">
        <w:rPr>
          <w:rFonts w:ascii="Montserrat" w:eastAsia="Times New Roman" w:hAnsi="Montserrat" w:cs="Times New Roman"/>
          <w:color w:val="212529"/>
          <w:kern w:val="0"/>
          <w:lang w:eastAsia="en-GB"/>
          <w14:ligatures w14:val="none"/>
        </w:rPr>
        <w:t>: Previously, placements could be split between a maximum of two employers (in some cases three, where they were part of the same supply chain). This cap has been removed and a placement can now be delivered by multiple employers. The recommendation is that placements should ideally involve no more than two employers, but exceptions can be made where a student 'would benefit from broader sector exposure,' or where short-term placements are more workable for the employer.</w:t>
      </w:r>
    </w:p>
    <w:p w14:paraId="5606D817" w14:textId="77777777" w:rsidR="005A393F" w:rsidRPr="005A393F" w:rsidRDefault="005A393F" w:rsidP="005A393F">
      <w:pPr>
        <w:numPr>
          <w:ilvl w:val="0"/>
          <w:numId w:val="2"/>
        </w:numPr>
        <w:spacing w:beforeAutospacing="1" w:after="0" w:afterAutospacing="1" w:line="240" w:lineRule="auto"/>
        <w:textAlignment w:val="baseline"/>
        <w:rPr>
          <w:rFonts w:ascii="Montserrat" w:eastAsia="Times New Roman" w:hAnsi="Montserrat" w:cs="Times New Roman"/>
          <w:color w:val="212529"/>
          <w:kern w:val="0"/>
          <w:lang w:eastAsia="en-GB"/>
          <w14:ligatures w14:val="none"/>
        </w:rPr>
      </w:pPr>
      <w:r w:rsidRPr="005A393F">
        <w:rPr>
          <w:rFonts w:ascii="Montserrat" w:eastAsia="Times New Roman" w:hAnsi="Montserrat" w:cs="Times New Roman"/>
          <w:b/>
          <w:bCs/>
          <w:color w:val="212529"/>
          <w:kern w:val="0"/>
          <w:bdr w:val="none" w:sz="0" w:space="0" w:color="auto" w:frame="1"/>
          <w:lang w:eastAsia="en-GB"/>
          <w14:ligatures w14:val="none"/>
        </w:rPr>
        <w:t>Remote hours permitted: </w:t>
      </w:r>
      <w:r w:rsidRPr="005A393F">
        <w:rPr>
          <w:rFonts w:ascii="Montserrat" w:eastAsia="Times New Roman" w:hAnsi="Montserrat" w:cs="Times New Roman"/>
          <w:color w:val="212529"/>
          <w:kern w:val="0"/>
          <w:lang w:eastAsia="en-GB"/>
          <w14:ligatures w14:val="none"/>
        </w:rPr>
        <w:t>Students can now complete their industry placement entirely from home; previous limits on the amount of time spent on remote learning have been removed. The official 'recommendation' is that no more than 20% of the placement is spend remotely but the flexibility is in place, where needed.</w:t>
      </w:r>
    </w:p>
    <w:p w14:paraId="5F9CC791" w14:textId="136155F5" w:rsidR="005A393F" w:rsidRPr="005A393F" w:rsidRDefault="005A393F" w:rsidP="005A393F">
      <w:pPr>
        <w:numPr>
          <w:ilvl w:val="0"/>
          <w:numId w:val="2"/>
        </w:numPr>
        <w:spacing w:beforeAutospacing="1" w:after="0" w:afterAutospacing="1" w:line="240" w:lineRule="auto"/>
        <w:textAlignment w:val="baseline"/>
        <w:rPr>
          <w:rFonts w:ascii="Montserrat" w:eastAsia="Times New Roman" w:hAnsi="Montserrat" w:cs="Times New Roman"/>
          <w:color w:val="212529"/>
          <w:kern w:val="0"/>
          <w:lang w:eastAsia="en-GB"/>
          <w14:ligatures w14:val="none"/>
        </w:rPr>
      </w:pPr>
      <w:r w:rsidRPr="005A393F">
        <w:rPr>
          <w:rFonts w:ascii="Montserrat" w:eastAsia="Times New Roman" w:hAnsi="Montserrat" w:cs="Times New Roman"/>
          <w:b/>
          <w:bCs/>
          <w:color w:val="212529"/>
          <w:kern w:val="0"/>
          <w:bdr w:val="none" w:sz="0" w:space="0" w:color="auto" w:frame="1"/>
          <w:lang w:eastAsia="en-GB"/>
          <w14:ligatures w14:val="none"/>
        </w:rPr>
        <w:t>Work taster activities: </w:t>
      </w:r>
      <w:r w:rsidRPr="005A393F">
        <w:rPr>
          <w:rFonts w:ascii="Montserrat" w:eastAsia="Times New Roman" w:hAnsi="Montserrat" w:cs="Times New Roman"/>
          <w:color w:val="212529"/>
          <w:kern w:val="0"/>
          <w:lang w:eastAsia="en-GB"/>
          <w14:ligatures w14:val="none"/>
        </w:rPr>
        <w:t>Students can now spend some placement hours on work taster activities to help them better understand the sector they want to work in. Example of work taster activities include shadowing different teams, attending workshops and sitting in on meetings. The new guidelines also explicit</w:t>
      </w:r>
      <w:r>
        <w:rPr>
          <w:rFonts w:ascii="Montserrat" w:eastAsia="Times New Roman" w:hAnsi="Montserrat" w:cs="Times New Roman"/>
          <w:color w:val="212529"/>
          <w:kern w:val="0"/>
          <w:lang w:eastAsia="en-GB"/>
          <w14:ligatures w14:val="none"/>
        </w:rPr>
        <w:t>l</w:t>
      </w:r>
      <w:r w:rsidRPr="005A393F">
        <w:rPr>
          <w:rFonts w:ascii="Montserrat" w:eastAsia="Times New Roman" w:hAnsi="Montserrat" w:cs="Times New Roman"/>
          <w:color w:val="212529"/>
          <w:kern w:val="0"/>
          <w:lang w:eastAsia="en-GB"/>
          <w14:ligatures w14:val="none"/>
        </w:rPr>
        <w:t>y permit small team projects and visits to skills hubs or training centres</w:t>
      </w:r>
    </w:p>
    <w:p w14:paraId="1CA0DE05" w14:textId="77777777" w:rsidR="005A393F" w:rsidRPr="005A393F" w:rsidRDefault="005A393F" w:rsidP="005A393F">
      <w:pPr>
        <w:numPr>
          <w:ilvl w:val="0"/>
          <w:numId w:val="2"/>
        </w:numPr>
        <w:spacing w:beforeAutospacing="1" w:after="0" w:afterAutospacing="1" w:line="240" w:lineRule="auto"/>
        <w:textAlignment w:val="baseline"/>
        <w:rPr>
          <w:rFonts w:ascii="Montserrat" w:eastAsia="Times New Roman" w:hAnsi="Montserrat" w:cs="Times New Roman"/>
          <w:color w:val="212529"/>
          <w:kern w:val="0"/>
          <w:lang w:eastAsia="en-GB"/>
          <w14:ligatures w14:val="none"/>
        </w:rPr>
      </w:pPr>
      <w:r w:rsidRPr="005A393F">
        <w:rPr>
          <w:rFonts w:ascii="Montserrat" w:eastAsia="Times New Roman" w:hAnsi="Montserrat" w:cs="Times New Roman"/>
          <w:b/>
          <w:bCs/>
          <w:color w:val="212529"/>
          <w:kern w:val="0"/>
          <w:bdr w:val="none" w:sz="0" w:space="0" w:color="auto" w:frame="1"/>
          <w:lang w:eastAsia="en-GB"/>
          <w14:ligatures w14:val="none"/>
        </w:rPr>
        <w:t>Clearer expectations for employer oversight: </w:t>
      </w:r>
      <w:r w:rsidRPr="005A393F">
        <w:rPr>
          <w:rFonts w:ascii="Montserrat" w:eastAsia="Times New Roman" w:hAnsi="Montserrat" w:cs="Times New Roman"/>
          <w:color w:val="212529"/>
          <w:kern w:val="0"/>
          <w:lang w:eastAsia="en-GB"/>
          <w14:ligatures w14:val="none"/>
        </w:rPr>
        <w:t>The new guidance reinforces that an industry professional not involved in teaching must set tasks and oversee the placement. Detailed processes are in place to support students, including additional support for those with SEND.</w:t>
      </w:r>
    </w:p>
    <w:p w14:paraId="62721F36" w14:textId="77777777" w:rsidR="005A393F" w:rsidRDefault="005A393F" w:rsidP="005A393F">
      <w:pPr>
        <w:numPr>
          <w:ilvl w:val="0"/>
          <w:numId w:val="2"/>
        </w:numPr>
        <w:spacing w:after="0" w:line="240" w:lineRule="auto"/>
        <w:textAlignment w:val="baseline"/>
        <w:rPr>
          <w:rFonts w:ascii="Montserrat" w:eastAsia="Times New Roman" w:hAnsi="Montserrat" w:cs="Times New Roman"/>
          <w:color w:val="212529"/>
          <w:kern w:val="0"/>
          <w:lang w:eastAsia="en-GB"/>
          <w14:ligatures w14:val="none"/>
        </w:rPr>
      </w:pPr>
      <w:r w:rsidRPr="005A393F">
        <w:rPr>
          <w:rFonts w:ascii="Montserrat" w:eastAsia="Times New Roman" w:hAnsi="Montserrat" w:cs="Times New Roman"/>
          <w:b/>
          <w:bCs/>
          <w:color w:val="212529"/>
          <w:kern w:val="0"/>
          <w:bdr w:val="none" w:sz="0" w:space="0" w:color="auto" w:frame="1"/>
          <w:lang w:eastAsia="en-GB"/>
          <w14:ligatures w14:val="none"/>
        </w:rPr>
        <w:t>Stronger emphasis on individualised learning goals: </w:t>
      </w:r>
      <w:r w:rsidRPr="005A393F">
        <w:rPr>
          <w:rFonts w:ascii="Montserrat" w:eastAsia="Times New Roman" w:hAnsi="Montserrat" w:cs="Times New Roman"/>
          <w:color w:val="212529"/>
          <w:kern w:val="0"/>
          <w:lang w:eastAsia="en-GB"/>
          <w14:ligatures w14:val="none"/>
        </w:rPr>
        <w:t>There are now clearer, more defined expectations in place that the provider will work with the student to agree individualised and stretching learning goals which are linked to the industry placement objectives.</w:t>
      </w:r>
    </w:p>
    <w:p w14:paraId="4EFBAADD" w14:textId="77777777" w:rsidR="005A393F" w:rsidRPr="005A393F" w:rsidRDefault="005A393F" w:rsidP="005A393F">
      <w:pPr>
        <w:spacing w:after="0" w:line="240" w:lineRule="auto"/>
        <w:ind w:left="720"/>
        <w:textAlignment w:val="baseline"/>
        <w:rPr>
          <w:rFonts w:ascii="Montserrat" w:eastAsia="Times New Roman" w:hAnsi="Montserrat" w:cs="Times New Roman"/>
          <w:color w:val="212529"/>
          <w:kern w:val="0"/>
          <w:lang w:eastAsia="en-GB"/>
          <w14:ligatures w14:val="none"/>
        </w:rPr>
      </w:pPr>
    </w:p>
    <w:p w14:paraId="4F2439B3" w14:textId="77777777" w:rsidR="005A393F" w:rsidRPr="005A393F" w:rsidRDefault="005A393F" w:rsidP="005A393F">
      <w:pPr>
        <w:spacing w:after="0" w:line="240" w:lineRule="auto"/>
        <w:textAlignment w:val="baseline"/>
        <w:rPr>
          <w:rFonts w:ascii="Montserrat" w:eastAsia="Times New Roman" w:hAnsi="Montserrat" w:cs="Times New Roman"/>
          <w:color w:val="212529"/>
          <w:kern w:val="0"/>
          <w:lang w:eastAsia="en-GB"/>
          <w14:ligatures w14:val="none"/>
        </w:rPr>
      </w:pPr>
      <w:r w:rsidRPr="005A393F">
        <w:rPr>
          <w:rFonts w:ascii="Montserrat" w:eastAsia="Times New Roman" w:hAnsi="Montserrat" w:cs="Times New Roman"/>
          <w:color w:val="212529"/>
          <w:kern w:val="0"/>
          <w:lang w:eastAsia="en-GB"/>
          <w14:ligatures w14:val="none"/>
        </w:rPr>
        <w:t>For further detail on the updated guidelines for industry placements and the expectations on providers, visit </w:t>
      </w:r>
      <w:hyperlink r:id="rId5" w:history="1">
        <w:r w:rsidRPr="005A393F">
          <w:rPr>
            <w:rFonts w:ascii="Montserrat" w:eastAsia="Times New Roman" w:hAnsi="Montserrat" w:cs="Times New Roman"/>
            <w:color w:val="00999B"/>
            <w:kern w:val="0"/>
            <w:bdr w:val="none" w:sz="0" w:space="0" w:color="auto" w:frame="1"/>
            <w:lang w:eastAsia="en-GB"/>
            <w14:ligatures w14:val="none"/>
          </w:rPr>
          <w:t>https://www.gov.uk/government/publications/t-level-industry-placements-guidance-for-providers--2</w:t>
        </w:r>
      </w:hyperlink>
    </w:p>
    <w:p w14:paraId="56E908C0" w14:textId="77777777" w:rsidR="00E86048" w:rsidRPr="005A393F" w:rsidRDefault="00E86048"/>
    <w:sectPr w:rsidR="00E86048" w:rsidRPr="005A39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55425"/>
    <w:multiLevelType w:val="multilevel"/>
    <w:tmpl w:val="90FC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E7590E"/>
    <w:multiLevelType w:val="multilevel"/>
    <w:tmpl w:val="C348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061071">
    <w:abstractNumId w:val="1"/>
  </w:num>
  <w:num w:numId="2" w16cid:durableId="61879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3F"/>
    <w:rsid w:val="005A393F"/>
    <w:rsid w:val="00D5455D"/>
    <w:rsid w:val="00E86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8146"/>
  <w15:chartTrackingRefBased/>
  <w15:docId w15:val="{7B1D958C-5545-4A32-B70A-AFEBAC6B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93F"/>
    <w:rPr>
      <w:rFonts w:eastAsiaTheme="majorEastAsia" w:cstheme="majorBidi"/>
      <w:color w:val="272727" w:themeColor="text1" w:themeTint="D8"/>
    </w:rPr>
  </w:style>
  <w:style w:type="paragraph" w:styleId="Title">
    <w:name w:val="Title"/>
    <w:basedOn w:val="Normal"/>
    <w:next w:val="Normal"/>
    <w:link w:val="TitleChar"/>
    <w:uiPriority w:val="10"/>
    <w:qFormat/>
    <w:rsid w:val="005A3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93F"/>
    <w:pPr>
      <w:spacing w:before="160"/>
      <w:jc w:val="center"/>
    </w:pPr>
    <w:rPr>
      <w:i/>
      <w:iCs/>
      <w:color w:val="404040" w:themeColor="text1" w:themeTint="BF"/>
    </w:rPr>
  </w:style>
  <w:style w:type="character" w:customStyle="1" w:styleId="QuoteChar">
    <w:name w:val="Quote Char"/>
    <w:basedOn w:val="DefaultParagraphFont"/>
    <w:link w:val="Quote"/>
    <w:uiPriority w:val="29"/>
    <w:rsid w:val="005A393F"/>
    <w:rPr>
      <w:i/>
      <w:iCs/>
      <w:color w:val="404040" w:themeColor="text1" w:themeTint="BF"/>
    </w:rPr>
  </w:style>
  <w:style w:type="paragraph" w:styleId="ListParagraph">
    <w:name w:val="List Paragraph"/>
    <w:basedOn w:val="Normal"/>
    <w:uiPriority w:val="34"/>
    <w:qFormat/>
    <w:rsid w:val="005A393F"/>
    <w:pPr>
      <w:ind w:left="720"/>
      <w:contextualSpacing/>
    </w:pPr>
  </w:style>
  <w:style w:type="character" w:styleId="IntenseEmphasis">
    <w:name w:val="Intense Emphasis"/>
    <w:basedOn w:val="DefaultParagraphFont"/>
    <w:uiPriority w:val="21"/>
    <w:qFormat/>
    <w:rsid w:val="005A393F"/>
    <w:rPr>
      <w:i/>
      <w:iCs/>
      <w:color w:val="0F4761" w:themeColor="accent1" w:themeShade="BF"/>
    </w:rPr>
  </w:style>
  <w:style w:type="paragraph" w:styleId="IntenseQuote">
    <w:name w:val="Intense Quote"/>
    <w:basedOn w:val="Normal"/>
    <w:next w:val="Normal"/>
    <w:link w:val="IntenseQuoteChar"/>
    <w:uiPriority w:val="30"/>
    <w:qFormat/>
    <w:rsid w:val="005A3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93F"/>
    <w:rPr>
      <w:i/>
      <w:iCs/>
      <w:color w:val="0F4761" w:themeColor="accent1" w:themeShade="BF"/>
    </w:rPr>
  </w:style>
  <w:style w:type="character" w:styleId="IntenseReference">
    <w:name w:val="Intense Reference"/>
    <w:basedOn w:val="DefaultParagraphFont"/>
    <w:uiPriority w:val="32"/>
    <w:qFormat/>
    <w:rsid w:val="005A39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t-level-industry-placements-guidance-for-providers--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Newman</dc:creator>
  <cp:keywords/>
  <dc:description/>
  <cp:lastModifiedBy>Kim Newman</cp:lastModifiedBy>
  <cp:revision>1</cp:revision>
  <dcterms:created xsi:type="dcterms:W3CDTF">2026-05-22T13:29:00Z</dcterms:created>
  <dcterms:modified xsi:type="dcterms:W3CDTF">2026-05-22T13:31:00Z</dcterms:modified>
</cp:coreProperties>
</file>